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167F84">
        <w:rPr>
          <w:rFonts w:cs="Arial"/>
          <w:sz w:val="20"/>
        </w:rPr>
        <w:t>9</w:t>
      </w:r>
      <w:r w:rsidR="005C3EE4">
        <w:rPr>
          <w:rFonts w:cs="Arial"/>
          <w:sz w:val="20"/>
        </w:rPr>
        <w:t>-</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DF5E14" w:rsidRPr="00DF5E14">
        <w:t>R4-2111448</w:t>
      </w:r>
    </w:p>
    <w:p w:rsidR="00675C27" w:rsidRPr="00444A16" w:rsidRDefault="009D7747" w:rsidP="00F71A33">
      <w:pPr>
        <w:pStyle w:val="a1"/>
        <w:rPr>
          <w:rFonts w:eastAsia="宋体"/>
          <w:lang w:eastAsia="zh-CN"/>
        </w:rPr>
      </w:pPr>
      <w:r>
        <w:rPr>
          <w:rFonts w:eastAsia="宋体"/>
          <w:lang w:eastAsia="zh-CN"/>
        </w:rPr>
        <w:t>Electronic Meeting, May</w:t>
      </w:r>
      <w:r w:rsidR="00167F84" w:rsidRPr="00AC4DD3">
        <w:rPr>
          <w:rFonts w:eastAsia="宋体"/>
          <w:lang w:eastAsia="zh-CN"/>
        </w:rPr>
        <w:t xml:space="preserve"> 19-27,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F4B8F" w:rsidRPr="00FF4B8F">
        <w:rPr>
          <w:rFonts w:ascii="Arial" w:hAnsi="Arial" w:cs="Arial"/>
          <w:sz w:val="22"/>
        </w:rPr>
        <w:t>On principles for deciding simultaneous Rx</w:t>
      </w:r>
      <w:r w:rsidR="00FF4B8F">
        <w:rPr>
          <w:rFonts w:ascii="Arial" w:hAnsi="Arial" w:cs="Arial"/>
          <w:sz w:val="22"/>
        </w:rPr>
        <w:t>/</w:t>
      </w:r>
      <w:proofErr w:type="spellStart"/>
      <w:r w:rsidR="00FF4B8F" w:rsidRPr="00FF4B8F">
        <w:rPr>
          <w:rFonts w:ascii="Arial" w:hAnsi="Arial" w:cs="Arial"/>
          <w:sz w:val="22"/>
        </w:rPr>
        <w:t>Tx</w:t>
      </w:r>
      <w:proofErr w:type="spellEnd"/>
      <w:r w:rsidR="00FF4B8F" w:rsidRPr="00FF4B8F">
        <w:rPr>
          <w:rFonts w:ascii="Arial" w:hAnsi="Arial" w:cs="Arial"/>
          <w:sz w:val="22"/>
        </w:rPr>
        <w:t xml:space="preserve"> capability</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DF5E14" w:rsidRPr="00DF5E14">
        <w:rPr>
          <w:rFonts w:ascii="Arial" w:hAnsi="Arial" w:cs="Arial"/>
          <w:sz w:val="22"/>
        </w:rPr>
        <w:t>8.44.2</w:t>
      </w:r>
      <w:bookmarkStart w:id="2" w:name="_GoBack"/>
      <w:bookmarkEnd w:id="2"/>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9A089A" w:rsidRDefault="00B0109B" w:rsidP="009A089A">
      <w:r>
        <w:rPr>
          <w:lang w:val="x-none"/>
        </w:rPr>
        <w:t>Issues for simultaneous Rx/</w:t>
      </w:r>
      <w:proofErr w:type="spellStart"/>
      <w:r>
        <w:rPr>
          <w:lang w:val="x-none"/>
        </w:rPr>
        <w:t>Tx</w:t>
      </w:r>
      <w:proofErr w:type="spellEnd"/>
      <w:r>
        <w:rPr>
          <w:lang w:val="x-none"/>
        </w:rPr>
        <w:t xml:space="preserve"> have been discussed in last RAN4 meeting [1]</w:t>
      </w:r>
      <w:r w:rsidR="00B9629D">
        <w:rPr>
          <w:lang w:val="x-none"/>
        </w:rPr>
        <w:t>.</w:t>
      </w:r>
      <w:r>
        <w:rPr>
          <w:lang w:val="x-none"/>
        </w:rPr>
        <w:t xml:space="preserve"> Based on the discussion in last meeting, this contribution provides further consideration on the identified issues. </w:t>
      </w:r>
    </w:p>
    <w:p w:rsidR="00062E8E" w:rsidRDefault="00062E8E" w:rsidP="00F23E96">
      <w:pPr>
        <w:pStyle w:val="Heading1"/>
        <w:spacing w:after="240"/>
        <w:rPr>
          <w:rFonts w:eastAsia="宋体"/>
          <w:lang w:eastAsia="zh-CN"/>
        </w:rPr>
      </w:pPr>
      <w:r>
        <w:rPr>
          <w:rFonts w:eastAsia="宋体" w:hint="eastAsia"/>
          <w:lang w:eastAsia="zh-CN"/>
        </w:rPr>
        <w:t>Discussion</w:t>
      </w:r>
    </w:p>
    <w:p w:rsidR="001A3F8A" w:rsidRDefault="005479AF" w:rsidP="00B0109B">
      <w:pPr>
        <w:pStyle w:val="Heading2"/>
        <w:spacing w:after="240"/>
        <w:rPr>
          <w:lang w:val="en-US"/>
        </w:rPr>
      </w:pPr>
      <w:r w:rsidRPr="00B0109B">
        <w:rPr>
          <w:lang w:val="en-US"/>
        </w:rPr>
        <w:t>Applicability of simultaneous Rx/</w:t>
      </w:r>
      <w:proofErr w:type="spellStart"/>
      <w:r w:rsidRPr="00B0109B">
        <w:rPr>
          <w:lang w:val="en-US"/>
        </w:rPr>
        <w:t>Tx</w:t>
      </w:r>
      <w:proofErr w:type="spellEnd"/>
      <w:r w:rsidRPr="00B0109B">
        <w:rPr>
          <w:lang w:val="en-US"/>
        </w:rPr>
        <w:t xml:space="preserve"> capability for similar band combination</w:t>
      </w:r>
    </w:p>
    <w:p w:rsidR="00B0109B" w:rsidRDefault="00B0109B" w:rsidP="00B0109B">
      <w:pPr>
        <w:rPr>
          <w:lang w:val="en-US" w:eastAsia="en-US"/>
        </w:rPr>
      </w:pPr>
      <w:r>
        <w:rPr>
          <w:lang w:val="en-US" w:eastAsia="en-US"/>
        </w:rPr>
        <w:t>Applicability of the same capability for NR CA and MR-DC is left undetermined due to some concern on synchronous/asynchronous for the DC band combination. In our understanding, this kind of consideration is only for TDD-TDD band combinations. However, as confirmed by RAN2 that if a combination can support the simultaneous Rx/</w:t>
      </w:r>
      <w:proofErr w:type="spellStart"/>
      <w:r>
        <w:rPr>
          <w:lang w:val="en-US" w:eastAsia="en-US"/>
        </w:rPr>
        <w:t>Tx</w:t>
      </w:r>
      <w:proofErr w:type="spellEnd"/>
      <w:r>
        <w:rPr>
          <w:lang w:val="en-US" w:eastAsia="en-US"/>
        </w:rPr>
        <w:t xml:space="preserve"> capability, this capability should be reported, otherwise, absence of the field means the capability is not supported for the band combination. </w:t>
      </w:r>
    </w:p>
    <w:p w:rsidR="00B0109B" w:rsidRDefault="00B0109B" w:rsidP="00B0109B">
      <w:pPr>
        <w:rPr>
          <w:lang w:val="en-US" w:eastAsia="en-US"/>
        </w:rPr>
      </w:pPr>
      <w:r>
        <w:rPr>
          <w:lang w:val="en-US" w:eastAsia="en-US"/>
        </w:rPr>
        <w:t xml:space="preserve">For a TDD-TDD band combination, supporting the capability implies that there is no need to consider the same TDD configuration for the TDD bands, which means there is no need to consider whether synchronous or asynchronous is supported. </w:t>
      </w:r>
      <w:r w:rsidR="004943E7">
        <w:rPr>
          <w:lang w:val="en-US" w:eastAsia="en-US"/>
        </w:rPr>
        <w:t xml:space="preserve">In addition, even only synchronous capability is supported by a NR-DC combination, it doesn’t mean that same TDD pattern is necessary for the two DC bands. </w:t>
      </w:r>
    </w:p>
    <w:p w:rsidR="004943E7" w:rsidRDefault="004943E7" w:rsidP="00B0109B">
      <w:pPr>
        <w:rPr>
          <w:lang w:val="en-US" w:eastAsia="en-US"/>
        </w:rPr>
      </w:pPr>
      <w:r>
        <w:rPr>
          <w:lang w:val="en-US" w:eastAsia="en-US"/>
        </w:rPr>
        <w:t>What matters for the simultaneous Rx/</w:t>
      </w:r>
      <w:proofErr w:type="spellStart"/>
      <w:r>
        <w:rPr>
          <w:lang w:val="en-US" w:eastAsia="en-US"/>
        </w:rPr>
        <w:t>Tx</w:t>
      </w:r>
      <w:proofErr w:type="spellEnd"/>
      <w:r>
        <w:rPr>
          <w:lang w:val="en-US" w:eastAsia="en-US"/>
        </w:rPr>
        <w:t xml:space="preserve"> capability for TDD-TDD combination essentially is determined by the interference of the constituent bands, </w:t>
      </w:r>
      <w:r w:rsidR="00B64EF4">
        <w:rPr>
          <w:lang w:val="en-US" w:eastAsia="en-US"/>
        </w:rPr>
        <w:t>thus we think that synchronous/asynchronous is not relevant to the simultaneous Rx/</w:t>
      </w:r>
      <w:proofErr w:type="spellStart"/>
      <w:r w:rsidR="00B64EF4">
        <w:rPr>
          <w:lang w:val="en-US" w:eastAsia="en-US"/>
        </w:rPr>
        <w:t>Tx</w:t>
      </w:r>
      <w:proofErr w:type="spellEnd"/>
      <w:r w:rsidR="00B64EF4">
        <w:rPr>
          <w:lang w:val="en-US" w:eastAsia="en-US"/>
        </w:rPr>
        <w:t xml:space="preserve"> capability. </w:t>
      </w:r>
    </w:p>
    <w:p w:rsidR="004943E7" w:rsidRPr="00B64EF4" w:rsidRDefault="00B64EF4" w:rsidP="00B0109B">
      <w:pPr>
        <w:rPr>
          <w:b/>
          <w:i/>
          <w:lang w:val="en-US" w:eastAsia="en-US"/>
        </w:rPr>
      </w:pPr>
      <w:r w:rsidRPr="00B64EF4">
        <w:rPr>
          <w:b/>
          <w:i/>
          <w:lang w:val="en-US" w:eastAsia="en-US"/>
        </w:rPr>
        <w:t>Proposal 1: same simultaneous Rx/</w:t>
      </w:r>
      <w:proofErr w:type="spellStart"/>
      <w:r w:rsidRPr="00B64EF4">
        <w:rPr>
          <w:b/>
          <w:i/>
          <w:lang w:val="en-US" w:eastAsia="en-US"/>
        </w:rPr>
        <w:t>Tx</w:t>
      </w:r>
      <w:proofErr w:type="spellEnd"/>
      <w:r w:rsidRPr="00B64EF4">
        <w:rPr>
          <w:b/>
          <w:i/>
          <w:lang w:val="en-US" w:eastAsia="en-US"/>
        </w:rPr>
        <w:t xml:space="preserve"> capability for NR CA band combination can be applied for</w:t>
      </w:r>
      <w:r>
        <w:rPr>
          <w:b/>
          <w:i/>
          <w:lang w:val="en-US" w:eastAsia="en-US"/>
        </w:rPr>
        <w:t xml:space="preserve"> the corresponding inter-band MR-</w:t>
      </w:r>
      <w:r w:rsidRPr="00B64EF4">
        <w:rPr>
          <w:b/>
          <w:i/>
          <w:lang w:val="en-US" w:eastAsia="en-US"/>
        </w:rPr>
        <w:t>DC band combination</w:t>
      </w:r>
      <w:r>
        <w:rPr>
          <w:b/>
          <w:i/>
          <w:lang w:val="en-US" w:eastAsia="en-US"/>
        </w:rPr>
        <w:t xml:space="preserve"> and vice versa</w:t>
      </w:r>
      <w:r w:rsidRPr="00B64EF4">
        <w:rPr>
          <w:b/>
          <w:i/>
          <w:lang w:val="en-US" w:eastAsia="en-US"/>
        </w:rPr>
        <w:t xml:space="preserve">. </w:t>
      </w:r>
    </w:p>
    <w:p w:rsidR="00B64EF4" w:rsidRPr="00B0109B" w:rsidRDefault="00B64EF4" w:rsidP="00B0109B">
      <w:pPr>
        <w:rPr>
          <w:lang w:val="en-US" w:eastAsia="en-US"/>
        </w:rPr>
      </w:pPr>
      <w:r>
        <w:rPr>
          <w:lang w:val="en-US" w:eastAsia="en-US"/>
        </w:rPr>
        <w:t>Though the capability can be reused for CA and MR-DC combination mutually, the current RAN2 signaling design allows the flexibility to report the simultaneous Rx/</w:t>
      </w:r>
      <w:proofErr w:type="spellStart"/>
      <w:r>
        <w:rPr>
          <w:lang w:val="en-US" w:eastAsia="en-US"/>
        </w:rPr>
        <w:t>Tx</w:t>
      </w:r>
      <w:proofErr w:type="spellEnd"/>
      <w:r>
        <w:rPr>
          <w:lang w:val="en-US" w:eastAsia="en-US"/>
        </w:rPr>
        <w:t xml:space="preserve"> capability for CA and MR-DC separately. </w:t>
      </w:r>
    </w:p>
    <w:p w:rsidR="001A3F8A" w:rsidRDefault="005479AF" w:rsidP="00B0109B">
      <w:pPr>
        <w:pStyle w:val="Heading2"/>
        <w:spacing w:after="240"/>
        <w:rPr>
          <w:lang w:val="en-US"/>
        </w:rPr>
      </w:pPr>
      <w:r w:rsidRPr="00B0109B">
        <w:rPr>
          <w:lang w:val="en-US"/>
        </w:rPr>
        <w:t>Rules to decide simultaneous Rx/</w:t>
      </w:r>
      <w:proofErr w:type="spellStart"/>
      <w:r w:rsidRPr="00B0109B">
        <w:rPr>
          <w:lang w:val="en-US"/>
        </w:rPr>
        <w:t>Tx</w:t>
      </w:r>
      <w:proofErr w:type="spellEnd"/>
      <w:r w:rsidRPr="00B0109B">
        <w:rPr>
          <w:lang w:val="en-US"/>
        </w:rPr>
        <w:t xml:space="preserve"> capability for a band combination </w:t>
      </w:r>
    </w:p>
    <w:p w:rsidR="00B0109B" w:rsidRDefault="00B64EF4" w:rsidP="00B0109B">
      <w:pPr>
        <w:rPr>
          <w:lang w:val="en-US" w:eastAsia="en-US"/>
        </w:rPr>
      </w:pPr>
      <w:r>
        <w:rPr>
          <w:lang w:val="en-US" w:eastAsia="en-US"/>
        </w:rPr>
        <w:t>Many cases were discussed in last meeting on the rules to decide simultaneous Rx/</w:t>
      </w:r>
      <w:proofErr w:type="spellStart"/>
      <w:r>
        <w:rPr>
          <w:lang w:val="en-US" w:eastAsia="en-US"/>
        </w:rPr>
        <w:t>Tx</w:t>
      </w:r>
      <w:proofErr w:type="spellEnd"/>
      <w:r>
        <w:rPr>
          <w:lang w:val="en-US" w:eastAsia="en-US"/>
        </w:rPr>
        <w:t xml:space="preserve"> capability for a band combination. According to the experience for the band combinations from Rel-15, almost all the case by case discussion are for TDD-TDD band combinations. </w:t>
      </w:r>
    </w:p>
    <w:p w:rsidR="00B64EF4" w:rsidRDefault="00B64EF4" w:rsidP="00B0109B">
      <w:pPr>
        <w:rPr>
          <w:lang w:val="en-US" w:eastAsia="en-US"/>
        </w:rPr>
      </w:pPr>
      <w:r w:rsidRPr="00B64EF4">
        <w:rPr>
          <w:lang w:val="en-US" w:eastAsia="en-US"/>
        </w:rPr>
        <w:t xml:space="preserve">It is </w:t>
      </w:r>
      <w:r>
        <w:rPr>
          <w:lang w:val="en-US" w:eastAsia="en-US"/>
        </w:rPr>
        <w:t xml:space="preserve">already </w:t>
      </w:r>
      <w:r w:rsidRPr="00B64EF4">
        <w:rPr>
          <w:lang w:val="en-US" w:eastAsia="en-US"/>
        </w:rPr>
        <w:t>agreed that simultaneous Rx/</w:t>
      </w:r>
      <w:proofErr w:type="spellStart"/>
      <w:r w:rsidRPr="00B64EF4">
        <w:rPr>
          <w:lang w:val="en-US" w:eastAsia="en-US"/>
        </w:rPr>
        <w:t>Tx</w:t>
      </w:r>
      <w:proofErr w:type="spellEnd"/>
      <w:r w:rsidRPr="00B64EF4">
        <w:rPr>
          <w:lang w:val="en-US" w:eastAsia="en-US"/>
        </w:rPr>
        <w:t xml:space="preserve"> capability should be discussed case by case for the FR1+FR1 TDD-TDD CA band combination.</w:t>
      </w:r>
      <w:r>
        <w:rPr>
          <w:lang w:val="en-US" w:eastAsia="en-US"/>
        </w:rPr>
        <w:t xml:space="preserve"> We think that this principle can also be extended to the case of FR2 and FR2 TDD-TDD band combination. </w:t>
      </w:r>
    </w:p>
    <w:p w:rsidR="00B64EF4" w:rsidRDefault="00B64EF4" w:rsidP="00B0109B">
      <w:pPr>
        <w:rPr>
          <w:lang w:val="en-US" w:eastAsia="en-US"/>
        </w:rPr>
      </w:pPr>
      <w:r>
        <w:rPr>
          <w:lang w:val="en-US" w:eastAsia="en-US"/>
        </w:rPr>
        <w:t xml:space="preserve">During the discussion, companies think that the criteria of frequency separation can be considered together with MSD criteria. For the cases below, i.e. </w:t>
      </w:r>
    </w:p>
    <w:p w:rsidR="00B64EF4" w:rsidRPr="00B64EF4" w:rsidRDefault="00B64EF4" w:rsidP="00B64EF4">
      <w:pPr>
        <w:pStyle w:val="ListParagraph"/>
        <w:numPr>
          <w:ilvl w:val="0"/>
          <w:numId w:val="47"/>
        </w:numPr>
        <w:ind w:firstLineChars="0"/>
        <w:rPr>
          <w:lang w:val="en-US" w:eastAsia="en-US"/>
        </w:rPr>
      </w:pPr>
      <w:r>
        <w:rPr>
          <w:rFonts w:ascii="Times New Roman" w:hAnsi="Times New Roman"/>
          <w:lang w:val="en-US" w:eastAsia="en-US"/>
        </w:rPr>
        <w:lastRenderedPageBreak/>
        <w:t>FR1 TDD-FDD band combinations</w:t>
      </w:r>
    </w:p>
    <w:p w:rsidR="00B64EF4" w:rsidRPr="00B64EF4" w:rsidRDefault="00B64EF4" w:rsidP="00B64EF4">
      <w:pPr>
        <w:pStyle w:val="ListParagraph"/>
        <w:numPr>
          <w:ilvl w:val="0"/>
          <w:numId w:val="47"/>
        </w:numPr>
        <w:ind w:firstLineChars="0"/>
        <w:rPr>
          <w:lang w:val="en-US" w:eastAsia="en-US"/>
        </w:rPr>
      </w:pPr>
      <w:r>
        <w:rPr>
          <w:rFonts w:ascii="Times New Roman" w:hAnsi="Times New Roman"/>
          <w:lang w:val="en-US" w:eastAsia="en-US"/>
        </w:rPr>
        <w:t>FR1 FDD aggregated with FR2 TDD bands</w:t>
      </w:r>
    </w:p>
    <w:p w:rsidR="00B64EF4" w:rsidRDefault="00B64EF4" w:rsidP="00B64EF4">
      <w:pPr>
        <w:pStyle w:val="ListParagraph"/>
        <w:numPr>
          <w:ilvl w:val="0"/>
          <w:numId w:val="47"/>
        </w:numPr>
        <w:ind w:firstLineChars="0"/>
        <w:rPr>
          <w:rFonts w:ascii="Times New Roman" w:hAnsi="Times New Roman"/>
          <w:lang w:val="en-US" w:eastAsia="en-US"/>
        </w:rPr>
      </w:pPr>
      <w:r w:rsidRPr="00B64EF4">
        <w:rPr>
          <w:rFonts w:ascii="Times New Roman" w:hAnsi="Times New Roman"/>
          <w:lang w:val="en-US" w:eastAsia="en-US"/>
        </w:rPr>
        <w:t>FR1 SUL band combination</w:t>
      </w:r>
    </w:p>
    <w:p w:rsidR="00B64EF4" w:rsidRDefault="00367C54" w:rsidP="00B64EF4">
      <w:pPr>
        <w:rPr>
          <w:lang w:val="en-US" w:eastAsia="en-US"/>
        </w:rPr>
      </w:pPr>
      <w:r>
        <w:rPr>
          <w:lang w:val="en-US" w:eastAsia="en-US"/>
        </w:rPr>
        <w:t>We think that all above cases can mandatorily support simultaneous Rx/</w:t>
      </w:r>
      <w:proofErr w:type="spellStart"/>
      <w:r>
        <w:rPr>
          <w:lang w:val="en-US" w:eastAsia="en-US"/>
        </w:rPr>
        <w:t>Tx</w:t>
      </w:r>
      <w:proofErr w:type="spellEnd"/>
      <w:r>
        <w:rPr>
          <w:lang w:val="en-US" w:eastAsia="en-US"/>
        </w:rPr>
        <w:t xml:space="preserve"> capability. For the combinations which have REFSENS degradation issues caused by IMD/harmonics, MSD requirements shall be defined. Unless for some cases that the MSD is too large to be acceptable for the operators, the specific cases can be handled exceptionally. </w:t>
      </w:r>
    </w:p>
    <w:p w:rsidR="00367C54" w:rsidRDefault="00367C54" w:rsidP="00B64EF4">
      <w:pPr>
        <w:rPr>
          <w:b/>
          <w:i/>
          <w:lang w:val="en-US" w:eastAsia="en-US"/>
        </w:rPr>
      </w:pPr>
      <w:r w:rsidRPr="00367C54">
        <w:rPr>
          <w:b/>
          <w:i/>
          <w:lang w:val="en-US" w:eastAsia="en-US"/>
        </w:rPr>
        <w:t xml:space="preserve">Proposal 2: </w:t>
      </w:r>
      <w:r>
        <w:rPr>
          <w:b/>
          <w:i/>
          <w:lang w:val="en-US" w:eastAsia="en-US"/>
        </w:rPr>
        <w:t>For the cases below, simultaneous Rx/</w:t>
      </w:r>
      <w:proofErr w:type="spellStart"/>
      <w:r>
        <w:rPr>
          <w:b/>
          <w:i/>
          <w:lang w:val="en-US" w:eastAsia="en-US"/>
        </w:rPr>
        <w:t>Tx</w:t>
      </w:r>
      <w:proofErr w:type="spellEnd"/>
      <w:r>
        <w:rPr>
          <w:b/>
          <w:i/>
          <w:lang w:val="en-US" w:eastAsia="en-US"/>
        </w:rPr>
        <w:t xml:space="preserve"> capability can be supported mandatorily. MSD requirements shall be defined for the combinations which have REFSENS degradation caused by IMD or harmonics. </w:t>
      </w:r>
    </w:p>
    <w:p w:rsidR="00367C54" w:rsidRPr="00367C54" w:rsidRDefault="00367C54" w:rsidP="00367C54">
      <w:pPr>
        <w:pStyle w:val="ListParagraph"/>
        <w:numPr>
          <w:ilvl w:val="0"/>
          <w:numId w:val="47"/>
        </w:numPr>
        <w:ind w:firstLineChars="0"/>
        <w:rPr>
          <w:b/>
          <w:i/>
          <w:lang w:val="en-US" w:eastAsia="en-US"/>
        </w:rPr>
      </w:pPr>
      <w:r w:rsidRPr="00367C54">
        <w:rPr>
          <w:rFonts w:ascii="Times New Roman" w:hAnsi="Times New Roman"/>
          <w:b/>
          <w:i/>
          <w:lang w:val="en-US" w:eastAsia="en-US"/>
        </w:rPr>
        <w:t>FR1 TDD-FDD band combinations</w:t>
      </w:r>
    </w:p>
    <w:p w:rsidR="00367C54" w:rsidRPr="00367C54" w:rsidRDefault="00367C54" w:rsidP="00367C54">
      <w:pPr>
        <w:pStyle w:val="ListParagraph"/>
        <w:numPr>
          <w:ilvl w:val="0"/>
          <w:numId w:val="47"/>
        </w:numPr>
        <w:ind w:firstLineChars="0"/>
        <w:rPr>
          <w:b/>
          <w:i/>
          <w:lang w:val="en-US" w:eastAsia="en-US"/>
        </w:rPr>
      </w:pPr>
      <w:r w:rsidRPr="00367C54">
        <w:rPr>
          <w:rFonts w:ascii="Times New Roman" w:hAnsi="Times New Roman"/>
          <w:b/>
          <w:i/>
          <w:lang w:val="en-US" w:eastAsia="en-US"/>
        </w:rPr>
        <w:t>FR1 FDD aggregated with FR2 TDD bands</w:t>
      </w:r>
    </w:p>
    <w:p w:rsidR="00367C54" w:rsidRPr="00367C54" w:rsidRDefault="00367C54" w:rsidP="00367C54">
      <w:pPr>
        <w:pStyle w:val="ListParagraph"/>
        <w:numPr>
          <w:ilvl w:val="0"/>
          <w:numId w:val="47"/>
        </w:numPr>
        <w:ind w:firstLineChars="0"/>
        <w:rPr>
          <w:rFonts w:ascii="Times New Roman" w:hAnsi="Times New Roman"/>
          <w:b/>
          <w:i/>
          <w:lang w:val="en-US" w:eastAsia="en-US"/>
        </w:rPr>
      </w:pPr>
      <w:r w:rsidRPr="00367C54">
        <w:rPr>
          <w:rFonts w:ascii="Times New Roman" w:hAnsi="Times New Roman"/>
          <w:b/>
          <w:i/>
          <w:lang w:val="en-US" w:eastAsia="en-US"/>
        </w:rPr>
        <w:t>FR1 SUL band combination</w:t>
      </w:r>
    </w:p>
    <w:p w:rsidR="00367C54" w:rsidRPr="00367C54" w:rsidRDefault="00367C54" w:rsidP="00B64EF4">
      <w:pPr>
        <w:rPr>
          <w:b/>
          <w:i/>
          <w:lang w:val="en-US" w:eastAsia="en-US"/>
        </w:rPr>
      </w:pPr>
    </w:p>
    <w:p w:rsidR="005369EE" w:rsidRDefault="005479AF" w:rsidP="00B0109B">
      <w:pPr>
        <w:pStyle w:val="Heading2"/>
        <w:spacing w:after="240"/>
        <w:rPr>
          <w:lang w:val="en-US"/>
        </w:rPr>
      </w:pPr>
      <w:r w:rsidRPr="00B0109B">
        <w:rPr>
          <w:lang w:val="en-US"/>
        </w:rPr>
        <w:t xml:space="preserve">Release independent </w:t>
      </w:r>
    </w:p>
    <w:p w:rsidR="00B0109B" w:rsidRPr="00B0109B" w:rsidRDefault="006A0E59" w:rsidP="00B0109B">
      <w:pPr>
        <w:rPr>
          <w:lang w:val="en-US" w:eastAsia="en-US"/>
        </w:rPr>
      </w:pPr>
      <w:r>
        <w:rPr>
          <w:lang w:val="en-US" w:eastAsia="en-US"/>
        </w:rPr>
        <w:t>For the issue that f</w:t>
      </w:r>
      <w:r w:rsidRPr="006A0E59">
        <w:rPr>
          <w:lang w:val="en-US" w:eastAsia="en-US"/>
        </w:rPr>
        <w:t>rom which release the capability indicated for a band combination introduced in Rel-17</w:t>
      </w:r>
      <w:r>
        <w:rPr>
          <w:lang w:val="en-US" w:eastAsia="en-US"/>
        </w:rPr>
        <w:t xml:space="preserve">, it seems that the understanding is not aligned among companies. </w:t>
      </w:r>
    </w:p>
    <w:p w:rsidR="005369EE" w:rsidRDefault="006A0E59" w:rsidP="005369EE">
      <w:pPr>
        <w:rPr>
          <w:lang w:val="en-US" w:eastAsia="en-US"/>
        </w:rPr>
      </w:pPr>
      <w:r>
        <w:rPr>
          <w:lang w:val="en-US" w:eastAsia="en-US"/>
        </w:rPr>
        <w:t>The simultaneous Rx/</w:t>
      </w:r>
      <w:proofErr w:type="spellStart"/>
      <w:r>
        <w:rPr>
          <w:lang w:val="en-US" w:eastAsia="en-US"/>
        </w:rPr>
        <w:t>Tx</w:t>
      </w:r>
      <w:proofErr w:type="spellEnd"/>
      <w:r>
        <w:rPr>
          <w:lang w:val="en-US" w:eastAsia="en-US"/>
        </w:rPr>
        <w:t xml:space="preserve"> capability was introduced from Rel-15. For a band combination introduced in Rel-17, if the Rel-15 UE fulfills the requirements specified for the combination, definitely the capability attributed to the band combination is also inherited. That follows the normal release independent manner and should not be a controversial issue. </w:t>
      </w:r>
    </w:p>
    <w:p w:rsidR="00167F84" w:rsidRPr="005369EE" w:rsidRDefault="00167F84" w:rsidP="005369EE">
      <w:pPr>
        <w:rPr>
          <w:b/>
          <w:i/>
          <w:lang w:val="en-US" w:eastAsia="en-US"/>
        </w:rPr>
      </w:pPr>
      <w:r w:rsidRPr="005369EE">
        <w:rPr>
          <w:b/>
          <w:i/>
          <w:lang w:val="en-US" w:eastAsia="en-US"/>
        </w:rPr>
        <w:t xml:space="preserve">Proposal </w:t>
      </w:r>
      <w:r w:rsidR="006A0E59">
        <w:rPr>
          <w:b/>
          <w:i/>
          <w:lang w:val="en-US" w:eastAsia="en-US"/>
        </w:rPr>
        <w:t>3</w:t>
      </w:r>
      <w:r w:rsidRPr="005369EE">
        <w:rPr>
          <w:b/>
          <w:i/>
          <w:lang w:val="en-US" w:eastAsia="en-US"/>
        </w:rPr>
        <w:t>:</w:t>
      </w:r>
      <w:r w:rsidR="006A0E59">
        <w:rPr>
          <w:b/>
          <w:i/>
          <w:lang w:val="en-US" w:eastAsia="en-US"/>
        </w:rPr>
        <w:t xml:space="preserve"> Follow the normal release independent manner to indicate the simultaneous Rx/</w:t>
      </w:r>
      <w:proofErr w:type="spellStart"/>
      <w:r w:rsidR="006A0E59">
        <w:rPr>
          <w:b/>
          <w:i/>
          <w:lang w:val="en-US" w:eastAsia="en-US"/>
        </w:rPr>
        <w:t>Tx</w:t>
      </w:r>
      <w:proofErr w:type="spellEnd"/>
      <w:r w:rsidR="006A0E59">
        <w:rPr>
          <w:b/>
          <w:i/>
          <w:lang w:val="en-US" w:eastAsia="en-US"/>
        </w:rPr>
        <w:t xml:space="preserve"> capability for a band combination introduced in Rel-17.</w:t>
      </w: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6A0E59">
        <w:t>further consideration for simultaneous Rx/</w:t>
      </w:r>
      <w:proofErr w:type="spellStart"/>
      <w:r w:rsidR="006A0E59">
        <w:t>Tx</w:t>
      </w:r>
      <w:proofErr w:type="spellEnd"/>
      <w:r w:rsidR="006A0E59">
        <w:t xml:space="preserve"> capability based on the discussion in last RAN4 meeting. </w:t>
      </w:r>
    </w:p>
    <w:p w:rsidR="006A0E59" w:rsidRPr="00B64EF4" w:rsidRDefault="006A0E59" w:rsidP="006A0E59">
      <w:pPr>
        <w:rPr>
          <w:b/>
          <w:i/>
          <w:lang w:val="en-US" w:eastAsia="en-US"/>
        </w:rPr>
      </w:pPr>
      <w:r w:rsidRPr="00B64EF4">
        <w:rPr>
          <w:b/>
          <w:i/>
          <w:lang w:val="en-US" w:eastAsia="en-US"/>
        </w:rPr>
        <w:t>Proposal 1: same simultaneous Rx/</w:t>
      </w:r>
      <w:proofErr w:type="spellStart"/>
      <w:r w:rsidRPr="00B64EF4">
        <w:rPr>
          <w:b/>
          <w:i/>
          <w:lang w:val="en-US" w:eastAsia="en-US"/>
        </w:rPr>
        <w:t>Tx</w:t>
      </w:r>
      <w:proofErr w:type="spellEnd"/>
      <w:r w:rsidRPr="00B64EF4">
        <w:rPr>
          <w:b/>
          <w:i/>
          <w:lang w:val="en-US" w:eastAsia="en-US"/>
        </w:rPr>
        <w:t xml:space="preserve"> capability for NR CA band combination can be applied for</w:t>
      </w:r>
      <w:r>
        <w:rPr>
          <w:b/>
          <w:i/>
          <w:lang w:val="en-US" w:eastAsia="en-US"/>
        </w:rPr>
        <w:t xml:space="preserve"> the corresponding inter-band MR-</w:t>
      </w:r>
      <w:r w:rsidRPr="00B64EF4">
        <w:rPr>
          <w:b/>
          <w:i/>
          <w:lang w:val="en-US" w:eastAsia="en-US"/>
        </w:rPr>
        <w:t>DC band combination</w:t>
      </w:r>
      <w:r>
        <w:rPr>
          <w:b/>
          <w:i/>
          <w:lang w:val="en-US" w:eastAsia="en-US"/>
        </w:rPr>
        <w:t xml:space="preserve"> and vice versa</w:t>
      </w:r>
      <w:r w:rsidRPr="00B64EF4">
        <w:rPr>
          <w:b/>
          <w:i/>
          <w:lang w:val="en-US" w:eastAsia="en-US"/>
        </w:rPr>
        <w:t xml:space="preserve">. </w:t>
      </w:r>
    </w:p>
    <w:p w:rsidR="006A0E59" w:rsidRDefault="006A0E59" w:rsidP="006A0E59">
      <w:pPr>
        <w:spacing w:after="120"/>
        <w:rPr>
          <w:b/>
          <w:i/>
          <w:lang w:val="en-US" w:eastAsia="en-US"/>
        </w:rPr>
      </w:pPr>
      <w:r w:rsidRPr="00367C54">
        <w:rPr>
          <w:b/>
          <w:i/>
          <w:lang w:val="en-US" w:eastAsia="en-US"/>
        </w:rPr>
        <w:t xml:space="preserve">Proposal 2: </w:t>
      </w:r>
      <w:r>
        <w:rPr>
          <w:b/>
          <w:i/>
          <w:lang w:val="en-US" w:eastAsia="en-US"/>
        </w:rPr>
        <w:t>For the cases below, simultaneous Rx/</w:t>
      </w:r>
      <w:proofErr w:type="spellStart"/>
      <w:r>
        <w:rPr>
          <w:b/>
          <w:i/>
          <w:lang w:val="en-US" w:eastAsia="en-US"/>
        </w:rPr>
        <w:t>Tx</w:t>
      </w:r>
      <w:proofErr w:type="spellEnd"/>
      <w:r>
        <w:rPr>
          <w:b/>
          <w:i/>
          <w:lang w:val="en-US" w:eastAsia="en-US"/>
        </w:rPr>
        <w:t xml:space="preserve"> capability can be supported mandatorily. MSD requirements shall be defined for the combinations which have REFSENS degradation caused by IMD or harmonics. </w:t>
      </w:r>
    </w:p>
    <w:p w:rsidR="006A0E59" w:rsidRPr="00367C54" w:rsidRDefault="006A0E59" w:rsidP="006A0E59">
      <w:pPr>
        <w:pStyle w:val="ListParagraph"/>
        <w:numPr>
          <w:ilvl w:val="0"/>
          <w:numId w:val="47"/>
        </w:numPr>
        <w:ind w:firstLineChars="0"/>
        <w:rPr>
          <w:b/>
          <w:i/>
          <w:lang w:val="en-US" w:eastAsia="en-US"/>
        </w:rPr>
      </w:pPr>
      <w:r w:rsidRPr="00367C54">
        <w:rPr>
          <w:rFonts w:ascii="Times New Roman" w:hAnsi="Times New Roman"/>
          <w:b/>
          <w:i/>
          <w:lang w:val="en-US" w:eastAsia="en-US"/>
        </w:rPr>
        <w:t>FR1 TDD-FDD band combinations</w:t>
      </w:r>
    </w:p>
    <w:p w:rsidR="006A0E59" w:rsidRPr="00367C54" w:rsidRDefault="006A0E59" w:rsidP="006A0E59">
      <w:pPr>
        <w:pStyle w:val="ListParagraph"/>
        <w:numPr>
          <w:ilvl w:val="0"/>
          <w:numId w:val="47"/>
        </w:numPr>
        <w:ind w:firstLineChars="0"/>
        <w:rPr>
          <w:b/>
          <w:i/>
          <w:lang w:val="en-US" w:eastAsia="en-US"/>
        </w:rPr>
      </w:pPr>
      <w:r w:rsidRPr="00367C54">
        <w:rPr>
          <w:rFonts w:ascii="Times New Roman" w:hAnsi="Times New Roman"/>
          <w:b/>
          <w:i/>
          <w:lang w:val="en-US" w:eastAsia="en-US"/>
        </w:rPr>
        <w:t>FR1 FDD aggregated with FR2 TDD bands</w:t>
      </w:r>
    </w:p>
    <w:p w:rsidR="006A0E59" w:rsidRDefault="006A0E59" w:rsidP="006A0E59">
      <w:pPr>
        <w:pStyle w:val="ListParagraph"/>
        <w:numPr>
          <w:ilvl w:val="0"/>
          <w:numId w:val="47"/>
        </w:numPr>
        <w:spacing w:after="180"/>
        <w:ind w:left="714" w:firstLineChars="0" w:hanging="357"/>
        <w:rPr>
          <w:rFonts w:ascii="Times New Roman" w:hAnsi="Times New Roman"/>
          <w:b/>
          <w:i/>
          <w:lang w:val="en-US" w:eastAsia="en-US"/>
        </w:rPr>
      </w:pPr>
      <w:r w:rsidRPr="00367C54">
        <w:rPr>
          <w:rFonts w:ascii="Times New Roman" w:hAnsi="Times New Roman"/>
          <w:b/>
          <w:i/>
          <w:lang w:val="en-US" w:eastAsia="en-US"/>
        </w:rPr>
        <w:t>FR1 SUL band combination</w:t>
      </w:r>
    </w:p>
    <w:p w:rsidR="006A0E59" w:rsidRPr="00367C54" w:rsidRDefault="006A0E59" w:rsidP="006A0E59">
      <w:pPr>
        <w:rPr>
          <w:b/>
          <w:i/>
          <w:lang w:val="en-US" w:eastAsia="en-US"/>
        </w:rPr>
      </w:pPr>
      <w:r w:rsidRPr="006A0E59">
        <w:rPr>
          <w:b/>
          <w:i/>
          <w:lang w:val="en-US" w:eastAsia="en-US"/>
        </w:rPr>
        <w:t>Proposal 3: Follow the normal release independent manner to indicate the simultaneous Rx/</w:t>
      </w:r>
      <w:proofErr w:type="spellStart"/>
      <w:r w:rsidRPr="006A0E59">
        <w:rPr>
          <w:b/>
          <w:i/>
          <w:lang w:val="en-US" w:eastAsia="en-US"/>
        </w:rPr>
        <w:t>Tx</w:t>
      </w:r>
      <w:proofErr w:type="spellEnd"/>
      <w:r w:rsidRPr="006A0E59">
        <w:rPr>
          <w:b/>
          <w:i/>
          <w:lang w:val="en-US" w:eastAsia="en-US"/>
        </w:rPr>
        <w:t xml:space="preserve"> capability for a band combination introduced in Rel-17.</w:t>
      </w:r>
    </w:p>
    <w:p w:rsidR="00B22DA6" w:rsidRDefault="00B22DA6" w:rsidP="00B22DA6">
      <w:pPr>
        <w:pStyle w:val="Heading1"/>
        <w:numPr>
          <w:ilvl w:val="0"/>
          <w:numId w:val="0"/>
        </w:numPr>
        <w:rPr>
          <w:rFonts w:eastAsia="宋体"/>
          <w:lang w:eastAsia="zh-CN"/>
        </w:rPr>
      </w:pPr>
      <w:r>
        <w:t>References</w:t>
      </w:r>
    </w:p>
    <w:p w:rsidR="00C53757" w:rsidRDefault="0035262B" w:rsidP="00F71A33">
      <w:r>
        <w:rPr>
          <w:rFonts w:hint="eastAsia"/>
        </w:rPr>
        <w:t>[1]</w:t>
      </w:r>
      <w:r w:rsidR="005369EE">
        <w:t xml:space="preserve"> </w:t>
      </w:r>
      <w:r w:rsidR="003861C1" w:rsidRPr="003861C1">
        <w:t>R4-2105377</w:t>
      </w:r>
      <w:r w:rsidR="003861C1">
        <w:t>,</w:t>
      </w:r>
      <w:r w:rsidR="003861C1" w:rsidRPr="003861C1">
        <w:t xml:space="preserve"> WF on Simultaneous Rx</w:t>
      </w:r>
      <w:r w:rsidR="00B0109B">
        <w:rPr>
          <w:rFonts w:hint="eastAsia"/>
        </w:rPr>
        <w:t>/</w:t>
      </w:r>
      <w:proofErr w:type="spellStart"/>
      <w:r w:rsidR="003861C1" w:rsidRPr="003861C1">
        <w:t>Tx</w:t>
      </w:r>
      <w:proofErr w:type="spellEnd"/>
      <w:r w:rsidR="003861C1">
        <w:t>, Huawei, HiSilicon</w:t>
      </w:r>
    </w:p>
    <w:sectPr w:rsidR="00C5375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081" w:rsidRDefault="00544081" w:rsidP="0052762B">
      <w:r>
        <w:separator/>
      </w:r>
    </w:p>
  </w:endnote>
  <w:endnote w:type="continuationSeparator" w:id="0">
    <w:p w:rsidR="00544081" w:rsidRDefault="0054408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081" w:rsidRDefault="00544081" w:rsidP="0052762B">
      <w:r>
        <w:separator/>
      </w:r>
    </w:p>
  </w:footnote>
  <w:footnote w:type="continuationSeparator" w:id="0">
    <w:p w:rsidR="00544081" w:rsidRDefault="0054408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A4A82"/>
    <w:multiLevelType w:val="hybridMultilevel"/>
    <w:tmpl w:val="50EE4A44"/>
    <w:lvl w:ilvl="0" w:tplc="9C20070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E5885"/>
    <w:multiLevelType w:val="hybridMultilevel"/>
    <w:tmpl w:val="76D2FA32"/>
    <w:lvl w:ilvl="0" w:tplc="FF563AEE">
      <w:start w:val="1"/>
      <w:numFmt w:val="bullet"/>
      <w:lvlText w:val="•"/>
      <w:lvlJc w:val="left"/>
      <w:pPr>
        <w:tabs>
          <w:tab w:val="num" w:pos="720"/>
        </w:tabs>
        <w:ind w:left="720" w:hanging="360"/>
      </w:pPr>
      <w:rPr>
        <w:rFonts w:ascii="Arial" w:hAnsi="Arial" w:hint="default"/>
      </w:rPr>
    </w:lvl>
    <w:lvl w:ilvl="1" w:tplc="2D5684AA" w:tentative="1">
      <w:start w:val="1"/>
      <w:numFmt w:val="bullet"/>
      <w:lvlText w:val="•"/>
      <w:lvlJc w:val="left"/>
      <w:pPr>
        <w:tabs>
          <w:tab w:val="num" w:pos="1440"/>
        </w:tabs>
        <w:ind w:left="1440" w:hanging="360"/>
      </w:pPr>
      <w:rPr>
        <w:rFonts w:ascii="Arial" w:hAnsi="Arial" w:hint="default"/>
      </w:rPr>
    </w:lvl>
    <w:lvl w:ilvl="2" w:tplc="06AAF556">
      <w:start w:val="1"/>
      <w:numFmt w:val="bullet"/>
      <w:lvlText w:val="•"/>
      <w:lvlJc w:val="left"/>
      <w:pPr>
        <w:tabs>
          <w:tab w:val="num" w:pos="2160"/>
        </w:tabs>
        <w:ind w:left="2160" w:hanging="360"/>
      </w:pPr>
      <w:rPr>
        <w:rFonts w:ascii="Arial" w:hAnsi="Arial" w:hint="default"/>
      </w:rPr>
    </w:lvl>
    <w:lvl w:ilvl="3" w:tplc="ADC84588" w:tentative="1">
      <w:start w:val="1"/>
      <w:numFmt w:val="bullet"/>
      <w:lvlText w:val="•"/>
      <w:lvlJc w:val="left"/>
      <w:pPr>
        <w:tabs>
          <w:tab w:val="num" w:pos="2880"/>
        </w:tabs>
        <w:ind w:left="2880" w:hanging="360"/>
      </w:pPr>
      <w:rPr>
        <w:rFonts w:ascii="Arial" w:hAnsi="Arial" w:hint="default"/>
      </w:rPr>
    </w:lvl>
    <w:lvl w:ilvl="4" w:tplc="D4F44AB4" w:tentative="1">
      <w:start w:val="1"/>
      <w:numFmt w:val="bullet"/>
      <w:lvlText w:val="•"/>
      <w:lvlJc w:val="left"/>
      <w:pPr>
        <w:tabs>
          <w:tab w:val="num" w:pos="3600"/>
        </w:tabs>
        <w:ind w:left="3600" w:hanging="360"/>
      </w:pPr>
      <w:rPr>
        <w:rFonts w:ascii="Arial" w:hAnsi="Arial" w:hint="default"/>
      </w:rPr>
    </w:lvl>
    <w:lvl w:ilvl="5" w:tplc="450AF6C0" w:tentative="1">
      <w:start w:val="1"/>
      <w:numFmt w:val="bullet"/>
      <w:lvlText w:val="•"/>
      <w:lvlJc w:val="left"/>
      <w:pPr>
        <w:tabs>
          <w:tab w:val="num" w:pos="4320"/>
        </w:tabs>
        <w:ind w:left="4320" w:hanging="360"/>
      </w:pPr>
      <w:rPr>
        <w:rFonts w:ascii="Arial" w:hAnsi="Arial" w:hint="default"/>
      </w:rPr>
    </w:lvl>
    <w:lvl w:ilvl="6" w:tplc="BCDA9A1E" w:tentative="1">
      <w:start w:val="1"/>
      <w:numFmt w:val="bullet"/>
      <w:lvlText w:val="•"/>
      <w:lvlJc w:val="left"/>
      <w:pPr>
        <w:tabs>
          <w:tab w:val="num" w:pos="5040"/>
        </w:tabs>
        <w:ind w:left="5040" w:hanging="360"/>
      </w:pPr>
      <w:rPr>
        <w:rFonts w:ascii="Arial" w:hAnsi="Arial" w:hint="default"/>
      </w:rPr>
    </w:lvl>
    <w:lvl w:ilvl="7" w:tplc="F202BC5A" w:tentative="1">
      <w:start w:val="1"/>
      <w:numFmt w:val="bullet"/>
      <w:lvlText w:val="•"/>
      <w:lvlJc w:val="left"/>
      <w:pPr>
        <w:tabs>
          <w:tab w:val="num" w:pos="5760"/>
        </w:tabs>
        <w:ind w:left="5760" w:hanging="360"/>
      </w:pPr>
      <w:rPr>
        <w:rFonts w:ascii="Arial" w:hAnsi="Arial" w:hint="default"/>
      </w:rPr>
    </w:lvl>
    <w:lvl w:ilvl="8" w:tplc="7EBEC7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8"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9D31416"/>
    <w:multiLevelType w:val="hybridMultilevel"/>
    <w:tmpl w:val="843C7868"/>
    <w:lvl w:ilvl="0" w:tplc="C1A8D62C">
      <w:start w:val="1"/>
      <w:numFmt w:val="bullet"/>
      <w:lvlText w:val="•"/>
      <w:lvlJc w:val="left"/>
      <w:pPr>
        <w:tabs>
          <w:tab w:val="num" w:pos="720"/>
        </w:tabs>
        <w:ind w:left="720" w:hanging="360"/>
      </w:pPr>
      <w:rPr>
        <w:rFonts w:ascii="Arial" w:hAnsi="Arial" w:hint="default"/>
      </w:rPr>
    </w:lvl>
    <w:lvl w:ilvl="1" w:tplc="E6A6EC72" w:tentative="1">
      <w:start w:val="1"/>
      <w:numFmt w:val="bullet"/>
      <w:lvlText w:val="•"/>
      <w:lvlJc w:val="left"/>
      <w:pPr>
        <w:tabs>
          <w:tab w:val="num" w:pos="1440"/>
        </w:tabs>
        <w:ind w:left="1440" w:hanging="360"/>
      </w:pPr>
      <w:rPr>
        <w:rFonts w:ascii="Arial" w:hAnsi="Arial" w:hint="default"/>
      </w:rPr>
    </w:lvl>
    <w:lvl w:ilvl="2" w:tplc="848683AE">
      <w:start w:val="1"/>
      <w:numFmt w:val="bullet"/>
      <w:lvlText w:val="•"/>
      <w:lvlJc w:val="left"/>
      <w:pPr>
        <w:tabs>
          <w:tab w:val="num" w:pos="2160"/>
        </w:tabs>
        <w:ind w:left="2160" w:hanging="360"/>
      </w:pPr>
      <w:rPr>
        <w:rFonts w:ascii="Arial" w:hAnsi="Arial" w:hint="default"/>
      </w:rPr>
    </w:lvl>
    <w:lvl w:ilvl="3" w:tplc="4CA4BBD8" w:tentative="1">
      <w:start w:val="1"/>
      <w:numFmt w:val="bullet"/>
      <w:lvlText w:val="•"/>
      <w:lvlJc w:val="left"/>
      <w:pPr>
        <w:tabs>
          <w:tab w:val="num" w:pos="2880"/>
        </w:tabs>
        <w:ind w:left="2880" w:hanging="360"/>
      </w:pPr>
      <w:rPr>
        <w:rFonts w:ascii="Arial" w:hAnsi="Arial" w:hint="default"/>
      </w:rPr>
    </w:lvl>
    <w:lvl w:ilvl="4" w:tplc="DBACCEFC" w:tentative="1">
      <w:start w:val="1"/>
      <w:numFmt w:val="bullet"/>
      <w:lvlText w:val="•"/>
      <w:lvlJc w:val="left"/>
      <w:pPr>
        <w:tabs>
          <w:tab w:val="num" w:pos="3600"/>
        </w:tabs>
        <w:ind w:left="3600" w:hanging="360"/>
      </w:pPr>
      <w:rPr>
        <w:rFonts w:ascii="Arial" w:hAnsi="Arial" w:hint="default"/>
      </w:rPr>
    </w:lvl>
    <w:lvl w:ilvl="5" w:tplc="166A588E" w:tentative="1">
      <w:start w:val="1"/>
      <w:numFmt w:val="bullet"/>
      <w:lvlText w:val="•"/>
      <w:lvlJc w:val="left"/>
      <w:pPr>
        <w:tabs>
          <w:tab w:val="num" w:pos="4320"/>
        </w:tabs>
        <w:ind w:left="4320" w:hanging="360"/>
      </w:pPr>
      <w:rPr>
        <w:rFonts w:ascii="Arial" w:hAnsi="Arial" w:hint="default"/>
      </w:rPr>
    </w:lvl>
    <w:lvl w:ilvl="6" w:tplc="A0F07E44" w:tentative="1">
      <w:start w:val="1"/>
      <w:numFmt w:val="bullet"/>
      <w:lvlText w:val="•"/>
      <w:lvlJc w:val="left"/>
      <w:pPr>
        <w:tabs>
          <w:tab w:val="num" w:pos="5040"/>
        </w:tabs>
        <w:ind w:left="5040" w:hanging="360"/>
      </w:pPr>
      <w:rPr>
        <w:rFonts w:ascii="Arial" w:hAnsi="Arial" w:hint="default"/>
      </w:rPr>
    </w:lvl>
    <w:lvl w:ilvl="7" w:tplc="5EBE297E" w:tentative="1">
      <w:start w:val="1"/>
      <w:numFmt w:val="bullet"/>
      <w:lvlText w:val="•"/>
      <w:lvlJc w:val="left"/>
      <w:pPr>
        <w:tabs>
          <w:tab w:val="num" w:pos="5760"/>
        </w:tabs>
        <w:ind w:left="5760" w:hanging="360"/>
      </w:pPr>
      <w:rPr>
        <w:rFonts w:ascii="Arial" w:hAnsi="Arial" w:hint="default"/>
      </w:rPr>
    </w:lvl>
    <w:lvl w:ilvl="8" w:tplc="5550722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A8E7E92"/>
    <w:multiLevelType w:val="hybridMultilevel"/>
    <w:tmpl w:val="03D2E288"/>
    <w:lvl w:ilvl="0" w:tplc="2FCAA63A">
      <w:start w:val="1"/>
      <w:numFmt w:val="bullet"/>
      <w:lvlText w:val="•"/>
      <w:lvlJc w:val="left"/>
      <w:pPr>
        <w:tabs>
          <w:tab w:val="num" w:pos="720"/>
        </w:tabs>
        <w:ind w:left="720" w:hanging="360"/>
      </w:pPr>
      <w:rPr>
        <w:rFonts w:ascii="Arial" w:hAnsi="Arial" w:hint="default"/>
      </w:rPr>
    </w:lvl>
    <w:lvl w:ilvl="1" w:tplc="99549FC0" w:tentative="1">
      <w:start w:val="1"/>
      <w:numFmt w:val="bullet"/>
      <w:lvlText w:val="•"/>
      <w:lvlJc w:val="left"/>
      <w:pPr>
        <w:tabs>
          <w:tab w:val="num" w:pos="1440"/>
        </w:tabs>
        <w:ind w:left="1440" w:hanging="360"/>
      </w:pPr>
      <w:rPr>
        <w:rFonts w:ascii="Arial" w:hAnsi="Arial" w:hint="default"/>
      </w:rPr>
    </w:lvl>
    <w:lvl w:ilvl="2" w:tplc="24E4BFDA">
      <w:start w:val="1"/>
      <w:numFmt w:val="bullet"/>
      <w:lvlText w:val="•"/>
      <w:lvlJc w:val="left"/>
      <w:pPr>
        <w:tabs>
          <w:tab w:val="num" w:pos="2160"/>
        </w:tabs>
        <w:ind w:left="2160" w:hanging="360"/>
      </w:pPr>
      <w:rPr>
        <w:rFonts w:ascii="Arial" w:hAnsi="Arial" w:hint="default"/>
      </w:rPr>
    </w:lvl>
    <w:lvl w:ilvl="3" w:tplc="83C81D2E" w:tentative="1">
      <w:start w:val="1"/>
      <w:numFmt w:val="bullet"/>
      <w:lvlText w:val="•"/>
      <w:lvlJc w:val="left"/>
      <w:pPr>
        <w:tabs>
          <w:tab w:val="num" w:pos="2880"/>
        </w:tabs>
        <w:ind w:left="2880" w:hanging="360"/>
      </w:pPr>
      <w:rPr>
        <w:rFonts w:ascii="Arial" w:hAnsi="Arial" w:hint="default"/>
      </w:rPr>
    </w:lvl>
    <w:lvl w:ilvl="4" w:tplc="F6E8E6C2" w:tentative="1">
      <w:start w:val="1"/>
      <w:numFmt w:val="bullet"/>
      <w:lvlText w:val="•"/>
      <w:lvlJc w:val="left"/>
      <w:pPr>
        <w:tabs>
          <w:tab w:val="num" w:pos="3600"/>
        </w:tabs>
        <w:ind w:left="3600" w:hanging="360"/>
      </w:pPr>
      <w:rPr>
        <w:rFonts w:ascii="Arial" w:hAnsi="Arial" w:hint="default"/>
      </w:rPr>
    </w:lvl>
    <w:lvl w:ilvl="5" w:tplc="3E0EFB4A" w:tentative="1">
      <w:start w:val="1"/>
      <w:numFmt w:val="bullet"/>
      <w:lvlText w:val="•"/>
      <w:lvlJc w:val="left"/>
      <w:pPr>
        <w:tabs>
          <w:tab w:val="num" w:pos="4320"/>
        </w:tabs>
        <w:ind w:left="4320" w:hanging="360"/>
      </w:pPr>
      <w:rPr>
        <w:rFonts w:ascii="Arial" w:hAnsi="Arial" w:hint="default"/>
      </w:rPr>
    </w:lvl>
    <w:lvl w:ilvl="6" w:tplc="D7E2AB32" w:tentative="1">
      <w:start w:val="1"/>
      <w:numFmt w:val="bullet"/>
      <w:lvlText w:val="•"/>
      <w:lvlJc w:val="left"/>
      <w:pPr>
        <w:tabs>
          <w:tab w:val="num" w:pos="5040"/>
        </w:tabs>
        <w:ind w:left="5040" w:hanging="360"/>
      </w:pPr>
      <w:rPr>
        <w:rFonts w:ascii="Arial" w:hAnsi="Arial" w:hint="default"/>
      </w:rPr>
    </w:lvl>
    <w:lvl w:ilvl="7" w:tplc="38323812" w:tentative="1">
      <w:start w:val="1"/>
      <w:numFmt w:val="bullet"/>
      <w:lvlText w:val="•"/>
      <w:lvlJc w:val="left"/>
      <w:pPr>
        <w:tabs>
          <w:tab w:val="num" w:pos="5760"/>
        </w:tabs>
        <w:ind w:left="5760" w:hanging="360"/>
      </w:pPr>
      <w:rPr>
        <w:rFonts w:ascii="Arial" w:hAnsi="Arial" w:hint="default"/>
      </w:rPr>
    </w:lvl>
    <w:lvl w:ilvl="8" w:tplc="6688DD7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9"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2"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5"/>
  </w:num>
  <w:num w:numId="3">
    <w:abstractNumId w:val="30"/>
  </w:num>
  <w:num w:numId="4">
    <w:abstractNumId w:val="41"/>
  </w:num>
  <w:num w:numId="5">
    <w:abstractNumId w:val="1"/>
  </w:num>
  <w:num w:numId="6">
    <w:abstractNumId w:val="40"/>
  </w:num>
  <w:num w:numId="7">
    <w:abstractNumId w:val="19"/>
  </w:num>
  <w:num w:numId="8">
    <w:abstractNumId w:val="34"/>
  </w:num>
  <w:num w:numId="9">
    <w:abstractNumId w:val="43"/>
  </w:num>
  <w:num w:numId="10">
    <w:abstractNumId w:val="14"/>
  </w:num>
  <w:num w:numId="11">
    <w:abstractNumId w:val="10"/>
  </w:num>
  <w:num w:numId="12">
    <w:abstractNumId w:val="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3"/>
  </w:num>
  <w:num w:numId="16">
    <w:abstractNumId w:val="10"/>
  </w:num>
  <w:num w:numId="17">
    <w:abstractNumId w:val="12"/>
  </w:num>
  <w:num w:numId="18">
    <w:abstractNumId w:val="22"/>
  </w:num>
  <w:num w:numId="19">
    <w:abstractNumId w:val="29"/>
  </w:num>
  <w:num w:numId="20">
    <w:abstractNumId w:val="27"/>
  </w:num>
  <w:num w:numId="21">
    <w:abstractNumId w:val="16"/>
  </w:num>
  <w:num w:numId="22">
    <w:abstractNumId w:val="7"/>
  </w:num>
  <w:num w:numId="23">
    <w:abstractNumId w:val="26"/>
  </w:num>
  <w:num w:numId="24">
    <w:abstractNumId w:val="39"/>
  </w:num>
  <w:num w:numId="25">
    <w:abstractNumId w:val="10"/>
  </w:num>
  <w:num w:numId="26">
    <w:abstractNumId w:val="38"/>
  </w:num>
  <w:num w:numId="27">
    <w:abstractNumId w:val="37"/>
  </w:num>
  <w:num w:numId="28">
    <w:abstractNumId w:val="20"/>
  </w:num>
  <w:num w:numId="29">
    <w:abstractNumId w:val="42"/>
  </w:num>
  <w:num w:numId="30">
    <w:abstractNumId w:val="31"/>
  </w:num>
  <w:num w:numId="31">
    <w:abstractNumId w:val="18"/>
  </w:num>
  <w:num w:numId="32">
    <w:abstractNumId w:val="35"/>
  </w:num>
  <w:num w:numId="33">
    <w:abstractNumId w:val="8"/>
  </w:num>
  <w:num w:numId="34">
    <w:abstractNumId w:val="11"/>
  </w:num>
  <w:num w:numId="35">
    <w:abstractNumId w:val="36"/>
  </w:num>
  <w:num w:numId="36">
    <w:abstractNumId w:val="21"/>
  </w:num>
  <w:num w:numId="37">
    <w:abstractNumId w:val="9"/>
  </w:num>
  <w:num w:numId="38">
    <w:abstractNumId w:val="32"/>
  </w:num>
  <w:num w:numId="39">
    <w:abstractNumId w:val="5"/>
  </w:num>
  <w:num w:numId="40">
    <w:abstractNumId w:val="28"/>
  </w:num>
  <w:num w:numId="41">
    <w:abstractNumId w:val="17"/>
  </w:num>
  <w:num w:numId="42">
    <w:abstractNumId w:val="15"/>
  </w:num>
  <w:num w:numId="43">
    <w:abstractNumId w:val="23"/>
  </w:num>
  <w:num w:numId="44">
    <w:abstractNumId w:val="33"/>
  </w:num>
  <w:num w:numId="45">
    <w:abstractNumId w:val="24"/>
  </w:num>
  <w:num w:numId="46">
    <w:abstractNumId w:val="4"/>
  </w:num>
  <w:num w:numId="4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F8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C54"/>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1C1"/>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3E7"/>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081"/>
    <w:rsid w:val="0054466D"/>
    <w:rsid w:val="00545F72"/>
    <w:rsid w:val="005468EB"/>
    <w:rsid w:val="00546DDE"/>
    <w:rsid w:val="0054729A"/>
    <w:rsid w:val="0054769B"/>
    <w:rsid w:val="005479AF"/>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0E59"/>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09B"/>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4EF4"/>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14"/>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B8F"/>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86853968">
      <w:bodyDiv w:val="1"/>
      <w:marLeft w:val="0"/>
      <w:marRight w:val="0"/>
      <w:marTop w:val="0"/>
      <w:marBottom w:val="0"/>
      <w:divBdr>
        <w:top w:val="none" w:sz="0" w:space="0" w:color="auto"/>
        <w:left w:val="none" w:sz="0" w:space="0" w:color="auto"/>
        <w:bottom w:val="none" w:sz="0" w:space="0" w:color="auto"/>
        <w:right w:val="none" w:sz="0" w:space="0" w:color="auto"/>
      </w:divBdr>
      <w:divsChild>
        <w:div w:id="1477840607">
          <w:marLeft w:val="1800"/>
          <w:marRight w:val="0"/>
          <w:marTop w:val="100"/>
          <w:marBottom w:val="0"/>
          <w:divBdr>
            <w:top w:val="none" w:sz="0" w:space="0" w:color="auto"/>
            <w:left w:val="none" w:sz="0" w:space="0" w:color="auto"/>
            <w:bottom w:val="none" w:sz="0" w:space="0" w:color="auto"/>
            <w:right w:val="none" w:sz="0" w:space="0" w:color="auto"/>
          </w:divBdr>
        </w:div>
      </w:divsChild>
    </w:div>
    <w:div w:id="110057291">
      <w:bodyDiv w:val="1"/>
      <w:marLeft w:val="0"/>
      <w:marRight w:val="0"/>
      <w:marTop w:val="0"/>
      <w:marBottom w:val="0"/>
      <w:divBdr>
        <w:top w:val="none" w:sz="0" w:space="0" w:color="auto"/>
        <w:left w:val="none" w:sz="0" w:space="0" w:color="auto"/>
        <w:bottom w:val="none" w:sz="0" w:space="0" w:color="auto"/>
        <w:right w:val="none" w:sz="0" w:space="0" w:color="auto"/>
      </w:divBdr>
      <w:divsChild>
        <w:div w:id="644239499">
          <w:marLeft w:val="1080"/>
          <w:marRight w:val="0"/>
          <w:marTop w:val="10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5984770">
      <w:bodyDiv w:val="1"/>
      <w:marLeft w:val="0"/>
      <w:marRight w:val="0"/>
      <w:marTop w:val="0"/>
      <w:marBottom w:val="0"/>
      <w:divBdr>
        <w:top w:val="none" w:sz="0" w:space="0" w:color="auto"/>
        <w:left w:val="none" w:sz="0" w:space="0" w:color="auto"/>
        <w:bottom w:val="none" w:sz="0" w:space="0" w:color="auto"/>
        <w:right w:val="none" w:sz="0" w:space="0" w:color="auto"/>
      </w:divBdr>
      <w:divsChild>
        <w:div w:id="1333491131">
          <w:marLeft w:val="360"/>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4561735">
      <w:bodyDiv w:val="1"/>
      <w:marLeft w:val="0"/>
      <w:marRight w:val="0"/>
      <w:marTop w:val="0"/>
      <w:marBottom w:val="0"/>
      <w:divBdr>
        <w:top w:val="none" w:sz="0" w:space="0" w:color="auto"/>
        <w:left w:val="none" w:sz="0" w:space="0" w:color="auto"/>
        <w:bottom w:val="none" w:sz="0" w:space="0" w:color="auto"/>
        <w:right w:val="none" w:sz="0" w:space="0" w:color="auto"/>
      </w:divBdr>
      <w:divsChild>
        <w:div w:id="1695033295">
          <w:marLeft w:val="1800"/>
          <w:marRight w:val="0"/>
          <w:marTop w:val="100"/>
          <w:marBottom w:val="0"/>
          <w:divBdr>
            <w:top w:val="none" w:sz="0" w:space="0" w:color="auto"/>
            <w:left w:val="none" w:sz="0" w:space="0" w:color="auto"/>
            <w:bottom w:val="none" w:sz="0" w:space="0" w:color="auto"/>
            <w:right w:val="none" w:sz="0" w:space="0" w:color="auto"/>
          </w:divBdr>
        </w:div>
      </w:divsChild>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8292620">
      <w:bodyDiv w:val="1"/>
      <w:marLeft w:val="0"/>
      <w:marRight w:val="0"/>
      <w:marTop w:val="0"/>
      <w:marBottom w:val="0"/>
      <w:divBdr>
        <w:top w:val="none" w:sz="0" w:space="0" w:color="auto"/>
        <w:left w:val="none" w:sz="0" w:space="0" w:color="auto"/>
        <w:bottom w:val="none" w:sz="0" w:space="0" w:color="auto"/>
        <w:right w:val="none" w:sz="0" w:space="0" w:color="auto"/>
      </w:divBdr>
      <w:divsChild>
        <w:div w:id="382752522">
          <w:marLeft w:val="1800"/>
          <w:marRight w:val="0"/>
          <w:marTop w:val="100"/>
          <w:marBottom w:val="0"/>
          <w:divBdr>
            <w:top w:val="none" w:sz="0" w:space="0" w:color="auto"/>
            <w:left w:val="none" w:sz="0" w:space="0" w:color="auto"/>
            <w:bottom w:val="none" w:sz="0" w:space="0" w:color="auto"/>
            <w:right w:val="none" w:sz="0" w:space="0" w:color="auto"/>
          </w:divBdr>
        </w:div>
      </w:divsChild>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04778976">
      <w:bodyDiv w:val="1"/>
      <w:marLeft w:val="0"/>
      <w:marRight w:val="0"/>
      <w:marTop w:val="0"/>
      <w:marBottom w:val="0"/>
      <w:divBdr>
        <w:top w:val="none" w:sz="0" w:space="0" w:color="auto"/>
        <w:left w:val="none" w:sz="0" w:space="0" w:color="auto"/>
        <w:bottom w:val="none" w:sz="0" w:space="0" w:color="auto"/>
        <w:right w:val="none" w:sz="0" w:space="0" w:color="auto"/>
      </w:divBdr>
      <w:divsChild>
        <w:div w:id="147215745">
          <w:marLeft w:val="360"/>
          <w:marRight w:val="0"/>
          <w:marTop w:val="20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CA699-44E4-47F6-A459-BC2188795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TotalTime>
  <Pages>2</Pages>
  <Words>747</Words>
  <Characters>4259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4997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cp:revision>
  <cp:lastPrinted>2010-01-07T02:23:00Z</cp:lastPrinted>
  <dcterms:created xsi:type="dcterms:W3CDTF">2021-05-11T15:13:00Z</dcterms:created>
  <dcterms:modified xsi:type="dcterms:W3CDTF">2021-05-11T21:55:00Z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(3)hK/3W5V8ZNGqJUvk3NHoReAfyOvgIzCVS+Sk2XZ5qrZL9DZs+Lt5ywaUJomAiISkvEe5qk6D
EA+/r6s2gBREQLLs/2jVyJ5wqiB47iXailddQRFqCJbxTmV/fDmeD8uHz2qZv+tD12dxyK2R
dft2jWaeBTntWC/ek/rNXQbbRkUqoOEwvqf1PHyjrmvGtMtoqr0OciY8PapYBXSVKjYtOi0X
IWCTauqzY9phPE0NbY</vt:lpwstr>
  </property>
  <property fmtid="{D5CDD505-2E9C-101B-9397-08002B2CF9AE}" pid="15" name="_2015_ms_pID_725343_00">
    <vt:lpwstr>_2015_ms_pID_725343</vt:lpwstr>
  </property>
  <property fmtid="{D5CDD505-2E9C-101B-9397-08002B2CF9AE}" pid="16" name="_2015_ms_pID_7253431">
    <vt:lpwstr>UrF6XIpug4eyMggUB7gpgYbhF0KocbdgcAZ9yUaONrLDjRGJOtzVjG
dUJoXbi85DsFHxOvvE7gg9BNOBUvQ+uTXzPEJn0NaAjTyLiVhcy//bRoGyQ5npEVMHeZ3bqF
QyryN+PG1PsfJ1OjQMt1s1119/ftQ8+Bk257FOvgohRVtbWIReDta2eBe6f3TxFbhQQOoPia
mN4RUEluTOuvgeLnPtOkLTcfdP3aXh7xgVFb</vt:lpwstr>
  </property>
  <property fmtid="{D5CDD505-2E9C-101B-9397-08002B2CF9AE}" pid="17" name="_2015_ms_pID_7253431_00">
    <vt:lpwstr>_2015_ms_pID_7253431</vt:lpwstr>
  </property>
  <property fmtid="{D5CDD505-2E9C-101B-9397-08002B2CF9AE}" pid="18" name="_2015_ms_pID_7253432">
    <vt:lpwstr>aiI5fVbn5n2qljkyDG7Mlzo=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